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0" w:type="dxa"/>
        <w:jc w:val="center"/>
        <w:tblCellSpacing w:w="15" w:type="dxa"/>
        <w:tblCellMar>
          <w:top w:w="15" w:type="dxa"/>
          <w:left w:w="15" w:type="dxa"/>
          <w:bottom w:w="15" w:type="dxa"/>
          <w:right w:w="15" w:type="dxa"/>
        </w:tblCellMar>
        <w:tblLook w:val="04A0" w:firstRow="1" w:lastRow="0" w:firstColumn="1" w:lastColumn="0" w:noHBand="0" w:noVBand="1"/>
      </w:tblPr>
      <w:tblGrid>
        <w:gridCol w:w="8655"/>
        <w:gridCol w:w="45"/>
      </w:tblGrid>
      <w:tr w:rsidR="00C309CC" w:rsidRPr="00C309CC" w:rsidTr="00AF32C5">
        <w:trPr>
          <w:gridAfter w:val="1"/>
          <w:trHeight w:val="1511"/>
          <w:tblCellSpacing w:w="15" w:type="dxa"/>
          <w:jc w:val="center"/>
        </w:trPr>
        <w:tc>
          <w:tcPr>
            <w:tcW w:w="3854" w:type="dxa"/>
            <w:vAlign w:val="center"/>
            <w:hideMark/>
          </w:tcPr>
          <w:p w:rsidR="00C309CC" w:rsidRPr="00C309CC" w:rsidRDefault="00C309CC" w:rsidP="00AF32C5">
            <w:pPr>
              <w:widowControl/>
              <w:jc w:val="center"/>
              <w:rPr>
                <w:rFonts w:ascii="標楷體" w:eastAsia="標楷體" w:hAnsi="標楷體" w:cs="新細明體"/>
                <w:kern w:val="0"/>
                <w:sz w:val="36"/>
                <w:szCs w:val="24"/>
              </w:rPr>
            </w:pPr>
            <w:r w:rsidRPr="00AF32C5">
              <w:rPr>
                <w:rFonts w:ascii="標楷體" w:eastAsia="標楷體" w:hAnsi="標楷體" w:cs="新細明體"/>
                <w:b/>
                <w:bCs/>
                <w:kern w:val="0"/>
                <w:sz w:val="36"/>
                <w:szCs w:val="27"/>
              </w:rPr>
              <w:t>軍訓成績考查辦法</w:t>
            </w:r>
          </w:p>
        </w:tc>
      </w:tr>
      <w:tr w:rsidR="00C309CC" w:rsidRPr="00C309CC" w:rsidTr="00AF32C5">
        <w:trPr>
          <w:tblCellSpacing w:w="15" w:type="dxa"/>
          <w:jc w:val="center"/>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033"/>
              <w:gridCol w:w="7577"/>
            </w:tblGrid>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bookmarkStart w:id="0" w:name="_GoBack"/>
                  <w:bookmarkEnd w:id="0"/>
                  <w:r w:rsidRPr="00513F92">
                    <w:rPr>
                      <w:rFonts w:ascii="標楷體" w:eastAsia="標楷體" w:hAnsi="標楷體" w:cs="新細明體"/>
                      <w:kern w:val="0"/>
                      <w:szCs w:val="24"/>
                    </w:rPr>
                    <w:t>第 一 條</w:t>
                  </w: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本辦法依據高級中等以上學校學生軍訓實施辦法第三條第二項規定有關大專部分訂定之。</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第 二 條</w:t>
                  </w: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高級中等以上學校學生軍訓成績單獨評量，男生以其所受軍事教育訓練，女生以其所受</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護理與軍事教育訓練為</w:t>
                  </w:r>
                  <w:proofErr w:type="gramStart"/>
                  <w:r w:rsidRPr="00513F92">
                    <w:rPr>
                      <w:rFonts w:ascii="標楷體" w:eastAsia="標楷體" w:hAnsi="標楷體" w:cs="新細明體"/>
                      <w:kern w:val="0"/>
                      <w:szCs w:val="24"/>
                    </w:rPr>
                    <w:t>準</w:t>
                  </w:r>
                  <w:proofErr w:type="gramEnd"/>
                  <w:r w:rsidRPr="00513F92">
                    <w:rPr>
                      <w:rFonts w:ascii="標楷體" w:eastAsia="標楷體" w:hAnsi="標楷體" w:cs="新細明體"/>
                      <w:kern w:val="0"/>
                      <w:szCs w:val="24"/>
                    </w:rPr>
                    <w:t>。</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第 三 條</w:t>
                  </w: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軍訓成績以一百分為滿分，以六十分為及格。</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第 四 條</w:t>
                  </w: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高級中等以上學校學生軍訓成績之考查分學期成績、學年成績、畢業成績與集訓</w:t>
                  </w:r>
                  <w:proofErr w:type="gramStart"/>
                  <w:r w:rsidRPr="00513F92">
                    <w:rPr>
                      <w:rFonts w:ascii="標楷體" w:eastAsia="標楷體" w:hAnsi="標楷體" w:cs="新細明體"/>
                      <w:kern w:val="0"/>
                      <w:szCs w:val="24"/>
                    </w:rPr>
                    <w:t>（</w:t>
                  </w:r>
                  <w:proofErr w:type="gramEnd"/>
                  <w:r w:rsidRPr="00513F92">
                    <w:rPr>
                      <w:rFonts w:ascii="標楷體" w:eastAsia="標楷體" w:hAnsi="標楷體" w:cs="新細明體"/>
                      <w:kern w:val="0"/>
                      <w:szCs w:val="24"/>
                    </w:rPr>
                    <w:t>講習</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）成績四種。專科以上學校學生軍訓成績，女生以學期成績為</w:t>
                  </w:r>
                  <w:proofErr w:type="gramStart"/>
                  <w:r w:rsidRPr="00513F92">
                    <w:rPr>
                      <w:rFonts w:ascii="標楷體" w:eastAsia="標楷體" w:hAnsi="標楷體" w:cs="新細明體"/>
                      <w:kern w:val="0"/>
                      <w:szCs w:val="24"/>
                    </w:rPr>
                    <w:t>準</w:t>
                  </w:r>
                  <w:proofErr w:type="gramEnd"/>
                  <w:r w:rsidRPr="00513F92">
                    <w:rPr>
                      <w:rFonts w:ascii="標楷體" w:eastAsia="標楷體" w:hAnsi="標楷體" w:cs="新細明體"/>
                      <w:kern w:val="0"/>
                      <w:szCs w:val="24"/>
                    </w:rPr>
                    <w:t>；男生以學期與集訓</w:t>
                  </w:r>
                  <w:proofErr w:type="gramStart"/>
                  <w:r w:rsidRPr="00513F92">
                    <w:rPr>
                      <w:rFonts w:ascii="標楷體" w:eastAsia="標楷體" w:hAnsi="標楷體" w:cs="新細明體"/>
                      <w:kern w:val="0"/>
                      <w:szCs w:val="24"/>
                    </w:rPr>
                    <w:t>（</w:t>
                  </w:r>
                  <w:proofErr w:type="gramEnd"/>
                  <w:r w:rsidRPr="00513F92">
                    <w:rPr>
                      <w:rFonts w:ascii="標楷體" w:eastAsia="標楷體" w:hAnsi="標楷體" w:cs="新細明體"/>
                      <w:kern w:val="0"/>
                      <w:szCs w:val="24"/>
                    </w:rPr>
                    <w:t>講</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習</w:t>
                  </w:r>
                  <w:proofErr w:type="gramStart"/>
                  <w:r w:rsidRPr="00513F92">
                    <w:rPr>
                      <w:rFonts w:ascii="標楷體" w:eastAsia="標楷體" w:hAnsi="標楷體" w:cs="新細明體"/>
                      <w:kern w:val="0"/>
                      <w:szCs w:val="24"/>
                    </w:rPr>
                    <w:t>）</w:t>
                  </w:r>
                  <w:proofErr w:type="gramEnd"/>
                  <w:r w:rsidRPr="00513F92">
                    <w:rPr>
                      <w:rFonts w:ascii="標楷體" w:eastAsia="標楷體" w:hAnsi="標楷體" w:cs="新細明體"/>
                      <w:kern w:val="0"/>
                      <w:szCs w:val="24"/>
                    </w:rPr>
                    <w:t>成績為</w:t>
                  </w:r>
                  <w:proofErr w:type="gramStart"/>
                  <w:r w:rsidRPr="00513F92">
                    <w:rPr>
                      <w:rFonts w:ascii="標楷體" w:eastAsia="標楷體" w:hAnsi="標楷體" w:cs="新細明體"/>
                      <w:kern w:val="0"/>
                      <w:szCs w:val="24"/>
                    </w:rPr>
                    <w:t>準</w:t>
                  </w:r>
                  <w:proofErr w:type="gramEnd"/>
                  <w:r w:rsidRPr="00513F92">
                    <w:rPr>
                      <w:rFonts w:ascii="標楷體" w:eastAsia="標楷體" w:hAnsi="標楷體" w:cs="新細明體"/>
                      <w:kern w:val="0"/>
                      <w:szCs w:val="24"/>
                    </w:rPr>
                    <w:t>。</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第 五 條</w:t>
                  </w: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專科以上學校學生軍訓成績之評量，所</w:t>
                  </w:r>
                  <w:proofErr w:type="gramStart"/>
                  <w:r w:rsidRPr="00513F92">
                    <w:rPr>
                      <w:rFonts w:ascii="標楷體" w:eastAsia="標楷體" w:hAnsi="標楷體" w:cs="新細明體"/>
                      <w:kern w:val="0"/>
                      <w:szCs w:val="24"/>
                    </w:rPr>
                    <w:t>佔</w:t>
                  </w:r>
                  <w:proofErr w:type="gramEnd"/>
                  <w:r w:rsidRPr="00513F92">
                    <w:rPr>
                      <w:rFonts w:ascii="標楷體" w:eastAsia="標楷體" w:hAnsi="標楷體" w:cs="新細明體"/>
                      <w:kern w:val="0"/>
                      <w:szCs w:val="24"/>
                    </w:rPr>
                    <w:t>比例如左：</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一、學期成績：以平時測驗成績及學期測驗成績合併核計。平時測驗成績</w:t>
                  </w:r>
                  <w:proofErr w:type="gramStart"/>
                  <w:r w:rsidRPr="00513F92">
                    <w:rPr>
                      <w:rFonts w:ascii="標楷體" w:eastAsia="標楷體" w:hAnsi="標楷體" w:cs="新細明體"/>
                      <w:kern w:val="0"/>
                      <w:szCs w:val="24"/>
                    </w:rPr>
                    <w:t>佔</w:t>
                  </w:r>
                  <w:proofErr w:type="gramEnd"/>
                  <w:r w:rsidRPr="00513F92">
                    <w:rPr>
                      <w:rFonts w:ascii="標楷體" w:eastAsia="標楷體" w:hAnsi="標楷體" w:cs="新細明體"/>
                      <w:kern w:val="0"/>
                      <w:szCs w:val="24"/>
                    </w:rPr>
                    <w:t>百分之六</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 xml:space="preserve">　　十，學期測驗成績</w:t>
                  </w:r>
                  <w:proofErr w:type="gramStart"/>
                  <w:r w:rsidRPr="00513F92">
                    <w:rPr>
                      <w:rFonts w:ascii="標楷體" w:eastAsia="標楷體" w:hAnsi="標楷體" w:cs="新細明體"/>
                      <w:kern w:val="0"/>
                      <w:szCs w:val="24"/>
                    </w:rPr>
                    <w:t>佔</w:t>
                  </w:r>
                  <w:proofErr w:type="gramEnd"/>
                  <w:r w:rsidRPr="00513F92">
                    <w:rPr>
                      <w:rFonts w:ascii="標楷體" w:eastAsia="標楷體" w:hAnsi="標楷體" w:cs="新細明體"/>
                      <w:kern w:val="0"/>
                      <w:szCs w:val="24"/>
                    </w:rPr>
                    <w:t>百分之四十，並按左列規定處理：</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（一）專科以上學校男生，以軍事學科為</w:t>
                  </w:r>
                  <w:proofErr w:type="gramStart"/>
                  <w:r w:rsidRPr="00513F92">
                    <w:rPr>
                      <w:rFonts w:ascii="標楷體" w:eastAsia="標楷體" w:hAnsi="標楷體" w:cs="新細明體"/>
                      <w:kern w:val="0"/>
                      <w:szCs w:val="24"/>
                    </w:rPr>
                    <w:t>準</w:t>
                  </w:r>
                  <w:proofErr w:type="gramEnd"/>
                  <w:r w:rsidRPr="00513F92">
                    <w:rPr>
                      <w:rFonts w:ascii="標楷體" w:eastAsia="標楷體" w:hAnsi="標楷體" w:cs="新細明體"/>
                      <w:kern w:val="0"/>
                      <w:szCs w:val="24"/>
                    </w:rPr>
                    <w:t>。</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（二）專科以上學校女生，護理與軍事學科各</w:t>
                  </w:r>
                  <w:proofErr w:type="gramStart"/>
                  <w:r w:rsidRPr="00513F92">
                    <w:rPr>
                      <w:rFonts w:ascii="標楷體" w:eastAsia="標楷體" w:hAnsi="標楷體" w:cs="新細明體"/>
                      <w:kern w:val="0"/>
                      <w:szCs w:val="24"/>
                    </w:rPr>
                    <w:t>佔</w:t>
                  </w:r>
                  <w:proofErr w:type="gramEnd"/>
                  <w:r w:rsidRPr="00513F92">
                    <w:rPr>
                      <w:rFonts w:ascii="標楷體" w:eastAsia="標楷體" w:hAnsi="標楷體" w:cs="新細明體"/>
                      <w:kern w:val="0"/>
                      <w:szCs w:val="24"/>
                    </w:rPr>
                    <w:t>百分之五十。</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（三）平時測驗成績包括：隨堂測驗、心得報告、作業及期中測驗等項評量。</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二、畢業成績：專科以上學校學生以各學期軍訓平均成績為</w:t>
                  </w:r>
                  <w:proofErr w:type="gramStart"/>
                  <w:r w:rsidRPr="00513F92">
                    <w:rPr>
                      <w:rFonts w:ascii="標楷體" w:eastAsia="標楷體" w:hAnsi="標楷體" w:cs="新細明體"/>
                      <w:kern w:val="0"/>
                      <w:szCs w:val="24"/>
                    </w:rPr>
                    <w:t>準</w:t>
                  </w:r>
                  <w:proofErr w:type="gramEnd"/>
                  <w:r w:rsidRPr="00513F92">
                    <w:rPr>
                      <w:rFonts w:ascii="標楷體" w:eastAsia="標楷體" w:hAnsi="標楷體" w:cs="新細明體"/>
                      <w:kern w:val="0"/>
                      <w:szCs w:val="24"/>
                    </w:rPr>
                    <w:t>。</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三、集訓（講習）成績：專科以上學校男生之暑、</w:t>
                  </w:r>
                  <w:proofErr w:type="gramStart"/>
                  <w:r w:rsidRPr="00513F92">
                    <w:rPr>
                      <w:rFonts w:ascii="標楷體" w:eastAsia="標楷體" w:hAnsi="標楷體" w:cs="新細明體"/>
                      <w:kern w:val="0"/>
                      <w:szCs w:val="24"/>
                    </w:rPr>
                    <w:t>寒期集訓</w:t>
                  </w:r>
                  <w:proofErr w:type="gramEnd"/>
                  <w:r w:rsidRPr="00513F92">
                    <w:rPr>
                      <w:rFonts w:ascii="標楷體" w:eastAsia="標楷體" w:hAnsi="標楷體" w:cs="新細明體"/>
                      <w:kern w:val="0"/>
                      <w:szCs w:val="24"/>
                    </w:rPr>
                    <w:t>成績，以大專學生集訓班之</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 xml:space="preserve">　　集訓成績為</w:t>
                  </w:r>
                  <w:proofErr w:type="gramStart"/>
                  <w:r w:rsidRPr="00513F92">
                    <w:rPr>
                      <w:rFonts w:ascii="標楷體" w:eastAsia="標楷體" w:hAnsi="標楷體" w:cs="新細明體"/>
                      <w:kern w:val="0"/>
                      <w:szCs w:val="24"/>
                    </w:rPr>
                    <w:t>準</w:t>
                  </w:r>
                  <w:proofErr w:type="gramEnd"/>
                  <w:r w:rsidRPr="00513F92">
                    <w:rPr>
                      <w:rFonts w:ascii="標楷體" w:eastAsia="標楷體" w:hAnsi="標楷體" w:cs="新細明體"/>
                      <w:kern w:val="0"/>
                      <w:szCs w:val="24"/>
                    </w:rPr>
                    <w:t>；海外青年講習成績，以教育部海外青年講習會之結業成績為</w:t>
                  </w:r>
                  <w:proofErr w:type="gramStart"/>
                  <w:r w:rsidRPr="00513F92">
                    <w:rPr>
                      <w:rFonts w:ascii="標楷體" w:eastAsia="標楷體" w:hAnsi="標楷體" w:cs="新細明體"/>
                      <w:kern w:val="0"/>
                      <w:szCs w:val="24"/>
                    </w:rPr>
                    <w:t>準</w:t>
                  </w:r>
                  <w:proofErr w:type="gramEnd"/>
                  <w:r w:rsidRPr="00513F92">
                    <w:rPr>
                      <w:rFonts w:ascii="標楷體" w:eastAsia="標楷體" w:hAnsi="標楷體" w:cs="新細明體"/>
                      <w:kern w:val="0"/>
                      <w:szCs w:val="24"/>
                    </w:rPr>
                    <w:t>。</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第 六 條</w:t>
                  </w: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高級中等以上學校學生，</w:t>
                  </w:r>
                  <w:proofErr w:type="gramStart"/>
                  <w:r w:rsidRPr="00513F92">
                    <w:rPr>
                      <w:rFonts w:ascii="標楷體" w:eastAsia="標楷體" w:hAnsi="標楷體" w:cs="新細明體"/>
                      <w:kern w:val="0"/>
                      <w:szCs w:val="24"/>
                    </w:rPr>
                    <w:t>經准免</w:t>
                  </w:r>
                  <w:proofErr w:type="gramEnd"/>
                  <w:r w:rsidRPr="00513F92">
                    <w:rPr>
                      <w:rFonts w:ascii="標楷體" w:eastAsia="標楷體" w:hAnsi="標楷體" w:cs="新細明體"/>
                      <w:kern w:val="0"/>
                      <w:szCs w:val="24"/>
                    </w:rPr>
                    <w:t>參加軍訓術科者，以軍訓學科成績評量之。</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第 七 條</w:t>
                  </w: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學生軍訓成績不及格，依左列規定處理：</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一、專科以上學校學生軍訓課程不及格達五十分以上者得予補考一次，補考成績及格者</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 xml:space="preserve">　　，概以六十分計算，補考成績不及格或學年成績未達五十分者，應令重讀。</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二、大專學生集訓或海外青年講習成績不及格者，得予補訓，以一次為限，補訓成績及</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 xml:space="preserve">　　</w:t>
                  </w:r>
                  <w:proofErr w:type="gramStart"/>
                  <w:r w:rsidRPr="00513F92">
                    <w:rPr>
                      <w:rFonts w:ascii="標楷體" w:eastAsia="標楷體" w:hAnsi="標楷體" w:cs="新細明體"/>
                      <w:kern w:val="0"/>
                      <w:szCs w:val="24"/>
                    </w:rPr>
                    <w:t>格後</w:t>
                  </w:r>
                  <w:proofErr w:type="gramEnd"/>
                  <w:r w:rsidRPr="00513F92">
                    <w:rPr>
                      <w:rFonts w:ascii="標楷體" w:eastAsia="標楷體" w:hAnsi="標楷體" w:cs="新細明體"/>
                      <w:kern w:val="0"/>
                      <w:szCs w:val="24"/>
                    </w:rPr>
                    <w:t>，始得畢業。</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第 八 條</w:t>
                  </w: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高級中等以上學校學生，因故未能參加軍訓課程學期測驗，事前經學校核</w:t>
                  </w:r>
                  <w:r w:rsidRPr="00513F92">
                    <w:rPr>
                      <w:rFonts w:ascii="標楷體" w:eastAsia="標楷體" w:hAnsi="標楷體" w:cs="新細明體"/>
                      <w:kern w:val="0"/>
                      <w:szCs w:val="24"/>
                    </w:rPr>
                    <w:lastRenderedPageBreak/>
                    <w:t>准有案者，准</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予補考一次，其成績依學校學則規定計算之。</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第 九 條</w:t>
                  </w: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專科以上學校學生考入其他專科以上學校為新生或轉入他校繼續銜接其所</w:t>
                  </w:r>
                  <w:proofErr w:type="gramStart"/>
                  <w:r w:rsidRPr="00513F92">
                    <w:rPr>
                      <w:rFonts w:ascii="標楷體" w:eastAsia="標楷體" w:hAnsi="標楷體" w:cs="新細明體"/>
                      <w:kern w:val="0"/>
                      <w:szCs w:val="24"/>
                    </w:rPr>
                    <w:t>讀年級</w:t>
                  </w:r>
                  <w:proofErr w:type="gramEnd"/>
                  <w:r w:rsidRPr="00513F92">
                    <w:rPr>
                      <w:rFonts w:ascii="標楷體" w:eastAsia="標楷體" w:hAnsi="標楷體" w:cs="新細明體"/>
                      <w:kern w:val="0"/>
                      <w:szCs w:val="24"/>
                    </w:rPr>
                    <w:t>者，其</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已修畢之各該學期軍訓課程，經查成績及格持有證明者，得免修。</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第 十 條</w:t>
                  </w: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專科以上學校男生，</w:t>
                  </w:r>
                  <w:proofErr w:type="gramStart"/>
                  <w:r w:rsidRPr="00513F92">
                    <w:rPr>
                      <w:rFonts w:ascii="標楷體" w:eastAsia="標楷體" w:hAnsi="標楷體" w:cs="新細明體"/>
                      <w:kern w:val="0"/>
                      <w:szCs w:val="24"/>
                    </w:rPr>
                    <w:t>除合於</w:t>
                  </w:r>
                  <w:proofErr w:type="gramEnd"/>
                  <w:r w:rsidRPr="00513F92">
                    <w:rPr>
                      <w:rFonts w:ascii="標楷體" w:eastAsia="標楷體" w:hAnsi="標楷體" w:cs="新細明體"/>
                      <w:kern w:val="0"/>
                      <w:szCs w:val="24"/>
                    </w:rPr>
                    <w:t>免受集訓或講習者外，其依年度集訓（講習）計畫規定，經</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roofErr w:type="gramStart"/>
                  <w:r w:rsidRPr="00513F92">
                    <w:rPr>
                      <w:rFonts w:ascii="標楷體" w:eastAsia="標楷體" w:hAnsi="標楷體" w:cs="新細明體"/>
                      <w:kern w:val="0"/>
                      <w:szCs w:val="24"/>
                    </w:rPr>
                    <w:t>驗退或</w:t>
                  </w:r>
                  <w:proofErr w:type="gramEnd"/>
                  <w:r w:rsidRPr="00513F92">
                    <w:rPr>
                      <w:rFonts w:ascii="標楷體" w:eastAsia="標楷體" w:hAnsi="標楷體" w:cs="新細明體"/>
                      <w:kern w:val="0"/>
                      <w:szCs w:val="24"/>
                    </w:rPr>
                    <w:t>退訓有案，無藉故不集訓（講習）情形，屆畢業時尚未接受集訓（講習），但軍</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roofErr w:type="gramStart"/>
                  <w:r w:rsidRPr="00513F92">
                    <w:rPr>
                      <w:rFonts w:ascii="標楷體" w:eastAsia="標楷體" w:hAnsi="標楷體" w:cs="新細明體"/>
                      <w:kern w:val="0"/>
                      <w:szCs w:val="24"/>
                    </w:rPr>
                    <w:t>訓</w:t>
                  </w:r>
                  <w:proofErr w:type="gramEnd"/>
                  <w:r w:rsidRPr="00513F92">
                    <w:rPr>
                      <w:rFonts w:ascii="標楷體" w:eastAsia="標楷體" w:hAnsi="標楷體" w:cs="新細明體"/>
                      <w:kern w:val="0"/>
                      <w:szCs w:val="24"/>
                    </w:rPr>
                    <w:t>學科成績及格者，除另有原因外，免</w:t>
                  </w:r>
                  <w:proofErr w:type="gramStart"/>
                  <w:r w:rsidRPr="00513F92">
                    <w:rPr>
                      <w:rFonts w:ascii="標楷體" w:eastAsia="標楷體" w:hAnsi="標楷體" w:cs="新細明體"/>
                      <w:kern w:val="0"/>
                      <w:szCs w:val="24"/>
                    </w:rPr>
                    <w:t>再補受集訓</w:t>
                  </w:r>
                  <w:proofErr w:type="gramEnd"/>
                  <w:r w:rsidRPr="00513F92">
                    <w:rPr>
                      <w:rFonts w:ascii="標楷體" w:eastAsia="標楷體" w:hAnsi="標楷體" w:cs="新細明體"/>
                      <w:kern w:val="0"/>
                      <w:szCs w:val="24"/>
                    </w:rPr>
                    <w:t>或講習，即以軍訓課程學期平均成績</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為</w:t>
                  </w:r>
                  <w:proofErr w:type="gramStart"/>
                  <w:r w:rsidRPr="00513F92">
                    <w:rPr>
                      <w:rFonts w:ascii="標楷體" w:eastAsia="標楷體" w:hAnsi="標楷體" w:cs="新細明體"/>
                      <w:kern w:val="0"/>
                      <w:szCs w:val="24"/>
                    </w:rPr>
                    <w:t>準</w:t>
                  </w:r>
                  <w:proofErr w:type="gramEnd"/>
                  <w:r w:rsidRPr="00513F92">
                    <w:rPr>
                      <w:rFonts w:ascii="標楷體" w:eastAsia="標楷體" w:hAnsi="標楷體" w:cs="新細明體"/>
                      <w:kern w:val="0"/>
                      <w:szCs w:val="24"/>
                    </w:rPr>
                    <w:t>。</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513F92">
                  <w:pPr>
                    <w:widowControl/>
                    <w:rPr>
                      <w:rFonts w:ascii="標楷體" w:eastAsia="標楷體" w:hAnsi="標楷體" w:cs="新細明體"/>
                      <w:kern w:val="0"/>
                      <w:sz w:val="22"/>
                      <w:szCs w:val="24"/>
                    </w:rPr>
                  </w:pPr>
                  <w:r w:rsidRPr="00513F92">
                    <w:rPr>
                      <w:rFonts w:ascii="標楷體" w:eastAsia="標楷體" w:hAnsi="標楷體" w:cs="新細明體"/>
                      <w:kern w:val="0"/>
                      <w:sz w:val="22"/>
                      <w:szCs w:val="24"/>
                    </w:rPr>
                    <w:t>第 十一條</w:t>
                  </w:r>
                </w:p>
              </w:tc>
              <w:tc>
                <w:tcPr>
                  <w:tcW w:w="4400" w:type="pct"/>
                  <w:hideMark/>
                </w:tcPr>
                <w:p w:rsidR="00C309CC" w:rsidRPr="00C309CC" w:rsidRDefault="00C309CC" w:rsidP="00513F92">
                  <w:pPr>
                    <w:widowControl/>
                    <w:rPr>
                      <w:rFonts w:ascii="標楷體" w:eastAsia="標楷體" w:hAnsi="標楷體" w:cs="新細明體"/>
                      <w:kern w:val="0"/>
                      <w:szCs w:val="24"/>
                    </w:rPr>
                  </w:pPr>
                  <w:r w:rsidRPr="00513F92">
                    <w:rPr>
                      <w:rFonts w:ascii="標楷體" w:eastAsia="標楷體" w:hAnsi="標楷體" w:cs="新細明體"/>
                      <w:kern w:val="0"/>
                      <w:szCs w:val="24"/>
                    </w:rPr>
                    <w:t>本辦法未規定事項應參照高級中等以上學校學生免修軍訓處理辦法及依學校學則等有</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關法令之規定辦理。</w:t>
                  </w: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Cs w:val="24"/>
                    </w:rPr>
                  </w:pPr>
                </w:p>
              </w:tc>
              <w:tc>
                <w:tcPr>
                  <w:tcW w:w="4400" w:type="pct"/>
                  <w:hideMark/>
                </w:tcPr>
                <w:p w:rsidR="00C309CC" w:rsidRPr="00C309CC" w:rsidRDefault="00C309CC" w:rsidP="00C309CC">
                  <w:pPr>
                    <w:widowControl/>
                    <w:rPr>
                      <w:rFonts w:ascii="標楷體" w:eastAsia="標楷體" w:hAnsi="標楷體" w:cs="新細明體"/>
                      <w:kern w:val="0"/>
                      <w:szCs w:val="24"/>
                    </w:rPr>
                  </w:pPr>
                </w:p>
              </w:tc>
            </w:tr>
            <w:tr w:rsidR="00C309CC" w:rsidRPr="00C309CC">
              <w:trPr>
                <w:tblCellSpacing w:w="0" w:type="dxa"/>
              </w:trPr>
              <w:tc>
                <w:tcPr>
                  <w:tcW w:w="600" w:type="pct"/>
                  <w:hideMark/>
                </w:tcPr>
                <w:p w:rsidR="00C309CC" w:rsidRPr="00C309CC" w:rsidRDefault="00C309CC" w:rsidP="00C309CC">
                  <w:pPr>
                    <w:widowControl/>
                    <w:rPr>
                      <w:rFonts w:ascii="標楷體" w:eastAsia="標楷體" w:hAnsi="標楷體" w:cs="新細明體"/>
                      <w:kern w:val="0"/>
                      <w:sz w:val="20"/>
                      <w:szCs w:val="24"/>
                    </w:rPr>
                  </w:pPr>
                  <w:r w:rsidRPr="00513F92">
                    <w:rPr>
                      <w:rFonts w:ascii="標楷體" w:eastAsia="標楷體" w:hAnsi="標楷體" w:cs="新細明體"/>
                      <w:kern w:val="0"/>
                      <w:sz w:val="20"/>
                      <w:szCs w:val="24"/>
                    </w:rPr>
                    <w:t>第 十二 條</w:t>
                  </w:r>
                </w:p>
              </w:tc>
              <w:tc>
                <w:tcPr>
                  <w:tcW w:w="4400" w:type="pct"/>
                  <w:hideMark/>
                </w:tcPr>
                <w:p w:rsidR="00C309CC" w:rsidRPr="00C309CC" w:rsidRDefault="00C309CC" w:rsidP="00C309CC">
                  <w:pPr>
                    <w:widowControl/>
                    <w:rPr>
                      <w:rFonts w:ascii="標楷體" w:eastAsia="標楷體" w:hAnsi="標楷體" w:cs="新細明體"/>
                      <w:kern w:val="0"/>
                      <w:szCs w:val="24"/>
                    </w:rPr>
                  </w:pPr>
                  <w:r w:rsidRPr="00513F92">
                    <w:rPr>
                      <w:rFonts w:ascii="標楷體" w:eastAsia="標楷體" w:hAnsi="標楷體" w:cs="新細明體"/>
                      <w:kern w:val="0"/>
                      <w:szCs w:val="24"/>
                    </w:rPr>
                    <w:t>本辦法經校長核定後發布施行，修正時亦同。</w:t>
                  </w:r>
                </w:p>
              </w:tc>
            </w:tr>
          </w:tbl>
          <w:p w:rsidR="00C309CC" w:rsidRPr="00C309CC" w:rsidRDefault="00C309CC" w:rsidP="00C309CC">
            <w:pPr>
              <w:widowControl/>
              <w:rPr>
                <w:rFonts w:ascii="標楷體" w:eastAsia="標楷體" w:hAnsi="標楷體" w:cs="新細明體"/>
                <w:kern w:val="0"/>
                <w:szCs w:val="24"/>
              </w:rPr>
            </w:pPr>
          </w:p>
        </w:tc>
      </w:tr>
    </w:tbl>
    <w:p w:rsidR="002C3C9F" w:rsidRPr="00513F92" w:rsidRDefault="002C3C9F">
      <w:pPr>
        <w:rPr>
          <w:rFonts w:ascii="標楷體" w:eastAsia="標楷體" w:hAnsi="標楷體"/>
        </w:rPr>
      </w:pPr>
    </w:p>
    <w:sectPr w:rsidR="002C3C9F" w:rsidRPr="00513F9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9CC"/>
    <w:rsid w:val="002C3C9F"/>
    <w:rsid w:val="00513F92"/>
    <w:rsid w:val="00AF32C5"/>
    <w:rsid w:val="00C30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41">
    <w:name w:val="style241"/>
    <w:basedOn w:val="a0"/>
    <w:rsid w:val="00C309CC"/>
    <w:rPr>
      <w:rFonts w:ascii="微軟正黑體" w:eastAsia="微軟正黑體" w:hAnsi="微軟正黑體" w:hint="eastAsia"/>
      <w:b/>
      <w:bCs/>
      <w:sz w:val="27"/>
      <w:szCs w:val="27"/>
    </w:rPr>
  </w:style>
  <w:style w:type="character" w:customStyle="1" w:styleId="style81">
    <w:name w:val="style81"/>
    <w:basedOn w:val="a0"/>
    <w:rsid w:val="00C309CC"/>
    <w:rPr>
      <w:rFonts w:ascii="微軟正黑體" w:eastAsia="微軟正黑體" w:hAnsi="微軟正黑體"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41">
    <w:name w:val="style241"/>
    <w:basedOn w:val="a0"/>
    <w:rsid w:val="00C309CC"/>
    <w:rPr>
      <w:rFonts w:ascii="微軟正黑體" w:eastAsia="微軟正黑體" w:hAnsi="微軟正黑體" w:hint="eastAsia"/>
      <w:b/>
      <w:bCs/>
      <w:sz w:val="27"/>
      <w:szCs w:val="27"/>
    </w:rPr>
  </w:style>
  <w:style w:type="character" w:customStyle="1" w:styleId="style81">
    <w:name w:val="style81"/>
    <w:basedOn w:val="a0"/>
    <w:rsid w:val="00C309CC"/>
    <w:rPr>
      <w:rFonts w:ascii="微軟正黑體" w:eastAsia="微軟正黑體" w:hAnsi="微軟正黑體"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tiit</dc:creator>
  <cp:lastModifiedBy>tiit</cp:lastModifiedBy>
  <cp:revision>3</cp:revision>
  <dcterms:created xsi:type="dcterms:W3CDTF">2014-11-26T00:13:00Z</dcterms:created>
  <dcterms:modified xsi:type="dcterms:W3CDTF">2014-11-26T04:29:00Z</dcterms:modified>
</cp:coreProperties>
</file>